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IV IBERO-AMERICAN CONGRESS ON PAUL RICOEUR</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The social and human sciences in dialogue</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 xml:space="preserve">Faculty of Humanities and Sciences of Education </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National University of La Plata</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Ibero-American Association of Ricoeur Studies (ASIER)</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La Plata, Argentina.  August 13th to 15th 2015</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 xml:space="preserve">Purpose: </w:t>
      </w:r>
      <w:r>
        <w:rPr>
          <w:rFonts w:ascii="Arial" w:hAnsi="Arial" w:cs="Arial"/>
          <w:color w:val="3F3F3F"/>
          <w:sz w:val="28"/>
          <w:szCs w:val="28"/>
        </w:rPr>
        <w:t xml:space="preserve">This Congress will focus on deepening academic work on Paul Ricoeur as part of a series of meetings sponsored by the </w:t>
      </w:r>
      <w:r>
        <w:rPr>
          <w:rFonts w:ascii="Arial" w:hAnsi="Arial" w:cs="Arial"/>
          <w:i/>
          <w:iCs/>
          <w:color w:val="3F3F3F"/>
          <w:sz w:val="28"/>
          <w:szCs w:val="28"/>
        </w:rPr>
        <w:t>Fonds Ricoeur</w:t>
      </w:r>
      <w:r>
        <w:rPr>
          <w:rFonts w:ascii="Arial" w:hAnsi="Arial" w:cs="Arial"/>
          <w:color w:val="3F3F3F"/>
          <w:sz w:val="28"/>
          <w:szCs w:val="28"/>
        </w:rPr>
        <w:t xml:space="preserve">, </w:t>
      </w:r>
      <w:r>
        <w:rPr>
          <w:rFonts w:ascii="Arial" w:hAnsi="Arial" w:cs="Arial"/>
          <w:i/>
          <w:iCs/>
          <w:color w:val="3F3F3F"/>
          <w:sz w:val="28"/>
          <w:szCs w:val="28"/>
        </w:rPr>
        <w:t>Society for Ricoeur Studies</w:t>
      </w:r>
      <w:r>
        <w:rPr>
          <w:rFonts w:ascii="Arial" w:hAnsi="Arial" w:cs="Arial"/>
          <w:color w:val="3F3F3F"/>
          <w:sz w:val="28"/>
          <w:szCs w:val="28"/>
        </w:rPr>
        <w:t xml:space="preserve">, </w:t>
      </w:r>
      <w:r>
        <w:rPr>
          <w:rFonts w:ascii="Arial" w:hAnsi="Arial" w:cs="Arial"/>
          <w:i/>
          <w:iCs/>
          <w:color w:val="3F3F3F"/>
          <w:sz w:val="28"/>
          <w:szCs w:val="28"/>
        </w:rPr>
        <w:t>European Network for Ricoeur Studies</w:t>
      </w:r>
      <w:r>
        <w:rPr>
          <w:rFonts w:ascii="Arial" w:hAnsi="Arial" w:cs="Arial"/>
          <w:color w:val="3F3F3F"/>
          <w:sz w:val="28"/>
          <w:szCs w:val="28"/>
        </w:rPr>
        <w:t xml:space="preserve"> (ENRS), and the </w:t>
      </w:r>
      <w:r>
        <w:rPr>
          <w:rFonts w:ascii="Arial" w:hAnsi="Arial" w:cs="Arial"/>
          <w:i/>
          <w:iCs/>
          <w:color w:val="3F3F3F"/>
          <w:sz w:val="28"/>
          <w:szCs w:val="28"/>
        </w:rPr>
        <w:t>Ibero-American Association of Ricoeur Studies</w:t>
      </w:r>
      <w:r>
        <w:rPr>
          <w:rFonts w:ascii="Arial" w:hAnsi="Arial" w:cs="Arial"/>
          <w:color w:val="3F3F3F"/>
          <w:sz w:val="28"/>
          <w:szCs w:val="28"/>
        </w:rPr>
        <w:t xml:space="preserve"> (ASIER). These meetings include the international Congresses at Canterbury (2009), Lisbon (2010), Moscow (2011), Lecce (2012), Paris (2013), Taipei (2014), and Antwerp (2014), as well as the annual conferences organized by the Society for Ricoeur Studies that have taken place in North America since 2007.</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Before the foundation of the Ibero-American Association of Ricoeur Studies (ASIER) in 2013, this academic community has been promoting diverse activities between scholars from Argentina, Brazil, Chile, Colombia, Mexico, Portugal, Spain, and other countries in these regions around Paul Ricoeur’s work, organizing three Ibero-American Conferences in Guadalajara (2010), Rio de Janeiro (2011), and Santiago de Chile (2013).</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xml:space="preserve">As a continuation of these academic activities, ASIER will celebrate the </w:t>
      </w:r>
      <w:r>
        <w:rPr>
          <w:rFonts w:ascii="Arial" w:hAnsi="Arial" w:cs="Arial"/>
          <w:b/>
          <w:bCs/>
          <w:color w:val="3F3F3F"/>
          <w:sz w:val="28"/>
          <w:szCs w:val="28"/>
        </w:rPr>
        <w:t xml:space="preserve">IV Ibero-American Association Congress </w:t>
      </w:r>
      <w:r>
        <w:rPr>
          <w:rFonts w:ascii="Arial" w:hAnsi="Arial" w:cs="Arial"/>
          <w:color w:val="3F3F3F"/>
          <w:sz w:val="28"/>
          <w:szCs w:val="28"/>
        </w:rPr>
        <w:t xml:space="preserve">on Ricoeur’s thinking, in </w:t>
      </w:r>
      <w:r>
        <w:rPr>
          <w:rFonts w:ascii="Arial" w:hAnsi="Arial" w:cs="Arial"/>
          <w:b/>
          <w:bCs/>
          <w:color w:val="3F3F3F"/>
          <w:sz w:val="28"/>
          <w:szCs w:val="28"/>
        </w:rPr>
        <w:t>La Plata</w:t>
      </w:r>
      <w:r>
        <w:rPr>
          <w:rFonts w:ascii="Arial" w:hAnsi="Arial" w:cs="Arial"/>
          <w:color w:val="3F3F3F"/>
          <w:sz w:val="28"/>
          <w:szCs w:val="28"/>
        </w:rPr>
        <w:t xml:space="preserve">, </w:t>
      </w:r>
      <w:r>
        <w:rPr>
          <w:rFonts w:ascii="Arial" w:hAnsi="Arial" w:cs="Arial"/>
          <w:b/>
          <w:bCs/>
          <w:color w:val="3F3F3F"/>
          <w:sz w:val="28"/>
          <w:szCs w:val="28"/>
        </w:rPr>
        <w:t xml:space="preserve">Argentina </w:t>
      </w:r>
      <w:r>
        <w:rPr>
          <w:rFonts w:ascii="Arial" w:hAnsi="Arial" w:cs="Arial"/>
          <w:color w:val="3F3F3F"/>
          <w:sz w:val="28"/>
          <w:szCs w:val="28"/>
        </w:rPr>
        <w:t>from the 13</w:t>
      </w:r>
      <w:r>
        <w:rPr>
          <w:rFonts w:ascii="Arial" w:hAnsi="Arial" w:cs="Arial"/>
          <w:color w:val="3F3F3F"/>
          <w:vertAlign w:val="superscript"/>
        </w:rPr>
        <w:t>th</w:t>
      </w:r>
      <w:r>
        <w:rPr>
          <w:rFonts w:ascii="Arial" w:hAnsi="Arial" w:cs="Arial"/>
          <w:color w:val="3F3F3F"/>
          <w:sz w:val="28"/>
          <w:szCs w:val="28"/>
        </w:rPr>
        <w:t xml:space="preserve"> to 15</w:t>
      </w:r>
      <w:r>
        <w:rPr>
          <w:rFonts w:ascii="Arial" w:hAnsi="Arial" w:cs="Arial"/>
          <w:color w:val="3F3F3F"/>
          <w:vertAlign w:val="superscript"/>
        </w:rPr>
        <w:t>th</w:t>
      </w:r>
      <w:r>
        <w:rPr>
          <w:rFonts w:ascii="Arial" w:hAnsi="Arial" w:cs="Arial"/>
          <w:color w:val="3F3F3F"/>
          <w:sz w:val="28"/>
          <w:szCs w:val="28"/>
        </w:rPr>
        <w:t xml:space="preserve"> of August 2015.  The Congress will take place at the </w:t>
      </w:r>
      <w:r>
        <w:rPr>
          <w:rFonts w:ascii="Arial" w:hAnsi="Arial" w:cs="Arial"/>
          <w:b/>
          <w:bCs/>
          <w:color w:val="3F3F3F"/>
          <w:sz w:val="28"/>
          <w:szCs w:val="28"/>
        </w:rPr>
        <w:t>Faculty of Humanities and Sciences of Education at the National University of La Plata</w:t>
      </w:r>
      <w:r>
        <w:rPr>
          <w:rFonts w:ascii="Arial" w:hAnsi="Arial" w:cs="Arial"/>
          <w:color w:val="3F3F3F"/>
          <w:sz w:val="28"/>
          <w:szCs w:val="28"/>
        </w:rPr>
        <w:t xml:space="preserve"> with the support and organization of its Department of Philosophy and the collaboration of the </w:t>
      </w:r>
      <w:r>
        <w:rPr>
          <w:rFonts w:ascii="Arial" w:hAnsi="Arial" w:cs="Arial"/>
          <w:i/>
          <w:iCs/>
          <w:color w:val="3F3F3F"/>
          <w:sz w:val="28"/>
          <w:szCs w:val="28"/>
        </w:rPr>
        <w:t>Fonds Ricoeur</w:t>
      </w:r>
      <w:r>
        <w:rPr>
          <w:rFonts w:ascii="Arial" w:hAnsi="Arial" w:cs="Arial"/>
          <w:color w:val="3F3F3F"/>
          <w:sz w:val="28"/>
          <w:szCs w:val="28"/>
        </w:rPr>
        <w:t xml:space="preserve">, </w:t>
      </w:r>
      <w:r>
        <w:rPr>
          <w:rFonts w:ascii="Arial" w:hAnsi="Arial" w:cs="Arial"/>
          <w:i/>
          <w:iCs/>
          <w:color w:val="3F3F3F"/>
          <w:sz w:val="28"/>
          <w:szCs w:val="28"/>
        </w:rPr>
        <w:t>the Society for Ricoeur Studies</w:t>
      </w:r>
      <w:r>
        <w:rPr>
          <w:rFonts w:ascii="Arial" w:hAnsi="Arial" w:cs="Arial"/>
          <w:color w:val="3F3F3F"/>
          <w:sz w:val="28"/>
          <w:szCs w:val="28"/>
        </w:rPr>
        <w:t xml:space="preserve">, the </w:t>
      </w:r>
      <w:r>
        <w:rPr>
          <w:rFonts w:ascii="Arial" w:hAnsi="Arial" w:cs="Arial"/>
          <w:i/>
          <w:iCs/>
          <w:color w:val="3F3F3F"/>
          <w:sz w:val="28"/>
          <w:szCs w:val="28"/>
        </w:rPr>
        <w:t>European Network for Ricoeur Studies</w:t>
      </w:r>
      <w:r>
        <w:rPr>
          <w:rFonts w:ascii="Arial" w:hAnsi="Arial" w:cs="Arial"/>
          <w:color w:val="3F3F3F"/>
          <w:sz w:val="28"/>
          <w:szCs w:val="28"/>
        </w:rPr>
        <w:t xml:space="preserve"> and </w:t>
      </w:r>
      <w:r>
        <w:rPr>
          <w:rFonts w:ascii="Arial" w:hAnsi="Arial" w:cs="Arial"/>
          <w:i/>
          <w:iCs/>
          <w:color w:val="3F3F3F"/>
          <w:sz w:val="28"/>
          <w:szCs w:val="28"/>
        </w:rPr>
        <w:t>Centro de Investigaciones filosóficas</w:t>
      </w:r>
      <w:r>
        <w:rPr>
          <w:rFonts w:ascii="Arial" w:hAnsi="Arial" w:cs="Arial"/>
          <w:color w:val="3F3F3F"/>
          <w:sz w:val="28"/>
          <w:szCs w:val="28"/>
        </w:rPr>
        <w:t>(CIF</w:t>
      </w:r>
      <w:r>
        <w:rPr>
          <w:rFonts w:ascii="Arial" w:hAnsi="Arial" w:cs="Arial"/>
          <w:i/>
          <w:iCs/>
          <w:color w:val="3F3F3F"/>
          <w:sz w:val="28"/>
          <w:szCs w:val="28"/>
        </w:rPr>
        <w:t>)</w:t>
      </w:r>
      <w:r>
        <w:rPr>
          <w:rFonts w:ascii="Arial" w:hAnsi="Arial" w:cs="Arial"/>
          <w:color w:val="3F3F3F"/>
          <w:sz w:val="28"/>
          <w:szCs w:val="28"/>
        </w:rPr>
        <w:t>.</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The Faculty of Humanities and Sciences of Education integrates the undergraduate studies of Philosophy, History, Sociology, Literature, Modern Languages, Library Studies, Geography and different Teaching training programs. This Faculty possesses an estimated 900 teachers, 11,000 students, and 348 researchers.</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xml:space="preserve">Taking into account the diversity of disciplines studied in this Faculty and the relevant research development there, the 2015 Ibero-American Congress will explore the thematic connections of </w:t>
      </w:r>
      <w:r>
        <w:rPr>
          <w:rFonts w:ascii="Arial" w:hAnsi="Arial" w:cs="Arial"/>
          <w:color w:val="3F3F3F"/>
          <w:sz w:val="28"/>
          <w:szCs w:val="28"/>
        </w:rPr>
        <w:lastRenderedPageBreak/>
        <w:t>Ricoeur's thinking within different areas of the Social Sciences and Humanities, promoting a wide and meaningful debate between scholars as well as encouraging the students’ approach to a specific scientific field as part of their academic itineraries. </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 xml:space="preserve">Thematic Axes: </w:t>
      </w:r>
      <w:r>
        <w:rPr>
          <w:rFonts w:ascii="Arial" w:hAnsi="Arial" w:cs="Arial"/>
          <w:color w:val="3F3F3F"/>
          <w:sz w:val="28"/>
          <w:szCs w:val="28"/>
        </w:rPr>
        <w:t>The Ibero-American Congress proposes the following thematic axes related to Ricoeur’s works within Social Sciences and Humanities:</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Psychoanalysis and the Hermeneutics of Suspicion;</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Metaphor, Mimesis and Text: The Specificity of Poetic Language and its Relationship with Temporality and Ontology;</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From Text to Action: Social Action as a Text;</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Narrative Identity: The Problem of Oneself as Another;</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Memory, History, Forgetting: The Specificity of Historical Narration and its Relationship with the Construction of Individual and Collective Memory;</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Mutual Recognition: The Symbolic Dimension of Social Recognition;</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Phenomenological Hermeneutics or Hermeneutic Phenomenology? The Problem of the Insertion of Hermeneutics into Phenomenology;</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Critique and Conviction: The Conflict Between and Coexistence of the Critical Distance of Philosophy and Listening to the Sacred;</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Education and Contemporary Narratives: The Pedagogical Turn of Ricoeur’s Philosophy;</w:t>
      </w:r>
    </w:p>
    <w:p w:rsidR="008C4351" w:rsidRDefault="008C4351" w:rsidP="008C4351">
      <w:pPr>
        <w:widowControl w:val="0"/>
        <w:numPr>
          <w:ilvl w:val="0"/>
          <w:numId w:val="1"/>
        </w:numPr>
        <w:tabs>
          <w:tab w:val="left" w:pos="220"/>
          <w:tab w:val="left" w:pos="720"/>
        </w:tabs>
        <w:autoSpaceDE w:val="0"/>
        <w:autoSpaceDN w:val="0"/>
        <w:adjustRightInd w:val="0"/>
        <w:ind w:hanging="720"/>
        <w:rPr>
          <w:rFonts w:ascii="Arial" w:hAnsi="Arial" w:cs="Arial"/>
          <w:color w:val="3F3F3F"/>
          <w:sz w:val="28"/>
          <w:szCs w:val="28"/>
        </w:rPr>
      </w:pPr>
      <w:r>
        <w:rPr>
          <w:rFonts w:ascii="Arial" w:hAnsi="Arial" w:cs="Arial"/>
          <w:color w:val="3F3F3F"/>
          <w:sz w:val="28"/>
          <w:szCs w:val="28"/>
        </w:rPr>
        <w:t>On Translation: The Renunciation of the Ideal of the Perfect Translation and the Double Mediation between the Author and the Reader.</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Participation in the Congress will be made through individual presentations incorporated into parallel working sessions, presentations of panels, and round tables.</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 xml:space="preserve">Call for papers: </w:t>
      </w:r>
      <w:r>
        <w:rPr>
          <w:rFonts w:ascii="Arial" w:hAnsi="Arial" w:cs="Arial"/>
          <w:color w:val="3F3F3F"/>
          <w:sz w:val="28"/>
          <w:szCs w:val="28"/>
        </w:rPr>
        <w:t xml:space="preserve">The Ibero-American Association invites academics to send their abstracts (300 to 500 words), in Spanish, Portuguese, French, or English by March 30th 2015 to the following email address: </w:t>
      </w:r>
      <w:hyperlink r:id="rId6" w:history="1">
        <w:r>
          <w:rPr>
            <w:rFonts w:ascii="Arial" w:hAnsi="Arial" w:cs="Arial"/>
            <w:color w:val="285287"/>
            <w:sz w:val="28"/>
            <w:szCs w:val="28"/>
            <w:u w:val="single" w:color="285287"/>
          </w:rPr>
          <w:t>congresoiberoamericanoricoeur@gmail.com</w:t>
        </w:r>
      </w:hyperlink>
      <w:r>
        <w:rPr>
          <w:rFonts w:ascii="Arial" w:hAnsi="Arial" w:cs="Arial"/>
          <w:color w:val="3F3F3F"/>
          <w:sz w:val="28"/>
          <w:szCs w:val="28"/>
        </w:rPr>
        <w:t>.For any questions related to the Congress, please do not hesitate to contact us at the Congress email address:</w:t>
      </w:r>
      <w:hyperlink r:id="rId7" w:history="1">
        <w:r>
          <w:rPr>
            <w:rFonts w:ascii="Arial" w:hAnsi="Arial" w:cs="Arial"/>
            <w:color w:val="285287"/>
            <w:sz w:val="28"/>
            <w:szCs w:val="28"/>
            <w:u w:val="single" w:color="285287"/>
          </w:rPr>
          <w:t>congresoiberoamericanoricoeur@gmail.com</w:t>
        </w:r>
      </w:hyperlink>
      <w:r>
        <w:rPr>
          <w:rFonts w:ascii="Arial" w:hAnsi="Arial" w:cs="Arial"/>
          <w:color w:val="3F3F3F"/>
          <w:sz w:val="28"/>
          <w:szCs w:val="28"/>
        </w:rPr>
        <w:t>.</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For panels or roundtables sessions, each Coordinator is invited to make a short summary of the purpose of the particular panel or the round table as well as an overview of the participants’ presentation and their papers’ title.</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Abstracts should be submitted as a Word file. The submission should include a separate first page that includes:  author’s or authors’ name(s); institutional affiliation(s); core panel (if any) the proposal is submitted for; e-mail address.</w:t>
      </w:r>
    </w:p>
    <w:p w:rsidR="008C4351" w:rsidRDefault="008C4351" w:rsidP="008C4351">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373C1F" w:rsidRDefault="008C4351" w:rsidP="008C4351">
      <w:r>
        <w:rPr>
          <w:rFonts w:ascii="Arial" w:hAnsi="Arial" w:cs="Arial"/>
          <w:color w:val="3F3F3F"/>
          <w:sz w:val="28"/>
          <w:szCs w:val="28"/>
        </w:rPr>
        <w:t>For the full call for papers, click here.</w:t>
      </w:r>
      <w:hyperlink r:id="rId8" w:history="1">
        <w:r>
          <w:rPr>
            <w:rFonts w:ascii="Arial" w:hAnsi="Arial" w:cs="Arial"/>
            <w:color w:val="285287"/>
            <w:sz w:val="28"/>
            <w:szCs w:val="28"/>
            <w:u w:val="single" w:color="285287"/>
          </w:rPr>
          <w:t>https://gallery.mailchimp.com/506d492470d360426fbe0174e/files/ASIER_LaPlata_CFP_En.docx</w:t>
        </w:r>
      </w:hyperlink>
      <w:bookmarkStart w:id="0" w:name="_GoBack"/>
      <w:bookmarkEnd w:id="0"/>
    </w:p>
    <w:sectPr w:rsidR="00373C1F" w:rsidSect="005161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51"/>
    <w:rsid w:val="00373C1F"/>
    <w:rsid w:val="005161A5"/>
    <w:rsid w:val="008C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5BB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ngresoiberoamericanoricoeur@gmail.com" TargetMode="External"/><Relationship Id="rId7" Type="http://schemas.openxmlformats.org/officeDocument/2006/relationships/hyperlink" Target="mailto:congresoiberoamericanoricoeur@gmail.com" TargetMode="External"/><Relationship Id="rId8" Type="http://schemas.openxmlformats.org/officeDocument/2006/relationships/hyperlink" Target="http://ricoeursociety.us2.list-manage.com/track/click?u=506d492470d360426fbe0174e&amp;id=5b9845f698&amp;e=9623e4131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4329</Characters>
  <Application>Microsoft Macintosh Word</Application>
  <DocSecurity>0</DocSecurity>
  <Lines>36</Lines>
  <Paragraphs>10</Paragraphs>
  <ScaleCrop>false</ScaleCrop>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Arthos</dc:creator>
  <cp:keywords/>
  <dc:description/>
  <cp:lastModifiedBy>John Arthos</cp:lastModifiedBy>
  <cp:revision>1</cp:revision>
  <dcterms:created xsi:type="dcterms:W3CDTF">2015-01-06T13:21:00Z</dcterms:created>
  <dcterms:modified xsi:type="dcterms:W3CDTF">2015-01-06T13:21:00Z</dcterms:modified>
</cp:coreProperties>
</file>